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1B2B1A">
        <w:rPr>
          <w:rStyle w:val="BLOCKBOLD"/>
          <w:rFonts w:ascii="Calibri" w:hAnsi="Calibri"/>
          <w:szCs w:val="20"/>
        </w:rPr>
        <w:t xml:space="preserve">la </w:t>
      </w:r>
      <w:r w:rsidR="001B2B1A" w:rsidRPr="001B2B1A">
        <w:rPr>
          <w:rStyle w:val="BLOCKBOLD"/>
          <w:rFonts w:ascii="Calibri" w:hAnsi="Calibri"/>
          <w:szCs w:val="20"/>
        </w:rPr>
        <w:t>Fornitura di Toner per stampanti monocromatiche e multifunzione</w:t>
      </w:r>
      <w:r w:rsidR="001B2B1A">
        <w:rPr>
          <w:rStyle w:val="BLOCKBOLD"/>
          <w:rFonts w:ascii="Calibri" w:hAnsi="Calibri"/>
          <w:szCs w:val="20"/>
        </w:rPr>
        <w:t xml:space="preserve"> – rda 49824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  <w:bookmarkStart w:id="0" w:name="_GoBack"/>
      <w:bookmarkEnd w:id="0"/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3454AE" w:rsidP="008556FB">
    <w:pPr>
      <w:pStyle w:val="Pidipagina"/>
      <w:rPr>
        <w:b/>
      </w:rPr>
    </w:pPr>
    <w:r w:rsidRPr="003454AE">
      <w:t>Procedura negoziata previa consultazione da elenco operatori su MEPA (ex art. 36 comma 2, lettera b) e comma 6 - d.lgs. 50/2016)</w:t>
    </w:r>
    <w:r>
      <w:t xml:space="preserve"> </w:t>
    </w:r>
    <w:r>
      <w:rPr>
        <w:noProof/>
      </w:rPr>
      <w:t xml:space="preserve">Sogei </w:t>
    </w:r>
    <w:r w:rsidR="00E84153" w:rsidRPr="00E84153">
      <w:rPr>
        <w:noProof/>
      </w:rPr>
      <w:t xml:space="preserve"> per </w:t>
    </w:r>
    <w:r w:rsidRPr="003454AE">
      <w:rPr>
        <w:noProof/>
      </w:rPr>
      <w:t>Fornitura di Toner per stampanti monocromatiche e multifunzione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454A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454A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454A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454A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1B2B1A" w:rsidP="008556FB">
    <w:pPr>
      <w:pStyle w:val="Pidipagina"/>
      <w:rPr>
        <w:b/>
      </w:rPr>
    </w:pPr>
    <w:r>
      <w:t xml:space="preserve"> </w:t>
    </w:r>
    <w:r w:rsidRPr="001B2B1A">
      <w:rPr>
        <w:noProof/>
      </w:rPr>
      <w:t>Procedura negoziata previa consultazione da elenco operatori su MEPA (ex art. 36 comma 2, lettera b) e comma 6 - d.lgs. 50/2016)</w:t>
    </w:r>
    <w:r>
      <w:rPr>
        <w:noProof/>
      </w:rPr>
      <w:t xml:space="preserve"> </w:t>
    </w:r>
    <w:r w:rsidR="00E84153" w:rsidRPr="00E84153">
      <w:rPr>
        <w:noProof/>
      </w:rPr>
      <w:t xml:space="preserve">per </w:t>
    </w:r>
    <w:r>
      <w:rPr>
        <w:noProof/>
      </w:rPr>
      <w:t>Sogei</w:t>
    </w:r>
    <w:r w:rsidR="00E84153" w:rsidRPr="00E84153">
      <w:rPr>
        <w:noProof/>
      </w:rPr>
      <w:t xml:space="preserve"> per </w:t>
    </w:r>
    <w:r>
      <w:rPr>
        <w:noProof/>
      </w:rPr>
      <w:t xml:space="preserve">la </w:t>
    </w:r>
    <w:r w:rsidR="00E84153" w:rsidRPr="00E84153">
      <w:rPr>
        <w:noProof/>
      </w:rPr>
      <w:t xml:space="preserve"> </w:t>
    </w:r>
    <w:r w:rsidRPr="001B2B1A">
      <w:rPr>
        <w:noProof/>
      </w:rPr>
      <w:t>Fornitura di Toner per stampanti monocromatiche e multifunzione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454AE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454A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454AE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454A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B1A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454AE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446E6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2020-04-27T09:35:00Z</dcterms:modified>
</cp:coreProperties>
</file>